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715C73" w14:textId="3914A532" w:rsidR="00E85652" w:rsidRPr="00E85652" w:rsidRDefault="00E85652" w:rsidP="00E85652">
      <w:pPr>
        <w:spacing w:after="120" w:line="360" w:lineRule="auto"/>
        <w:ind w:left="567" w:right="1695"/>
        <w:rPr>
          <w:rFonts w:ascii="Arial" w:hAnsi="Arial" w:cs="Arial"/>
          <w:b/>
          <w:bCs/>
          <w:sz w:val="28"/>
          <w:szCs w:val="28"/>
        </w:rPr>
      </w:pPr>
      <w:r>
        <w:rPr>
          <w:rFonts w:ascii="Arial" w:hAnsi="Arial"/>
          <w:b/>
          <w:sz w:val="28"/>
        </w:rPr>
        <w:t>Nowy pneumatyczny siewnik nabudowany Centaya 3000 Special</w:t>
      </w:r>
    </w:p>
    <w:p w14:paraId="74350678" w14:textId="77777777" w:rsidR="00036D42" w:rsidRDefault="00036D42" w:rsidP="00E85652">
      <w:pPr>
        <w:spacing w:after="120" w:line="360" w:lineRule="auto"/>
        <w:ind w:left="567" w:right="1695"/>
        <w:rPr>
          <w:rFonts w:ascii="Arial" w:eastAsia="Arial" w:hAnsi="Arial" w:cs="Arial"/>
        </w:rPr>
      </w:pPr>
    </w:p>
    <w:p w14:paraId="362E6896" w14:textId="365AFC78" w:rsidR="00060DFC" w:rsidRPr="00060DFC" w:rsidRDefault="00060DFC" w:rsidP="00060DFC">
      <w:pPr>
        <w:spacing w:after="120" w:line="360" w:lineRule="auto"/>
        <w:ind w:left="567" w:right="1695"/>
        <w:rPr>
          <w:rFonts w:ascii="Arial" w:eastAsia="Arial" w:hAnsi="Arial" w:cs="Arial"/>
        </w:rPr>
      </w:pPr>
      <w:r>
        <w:rPr>
          <w:rFonts w:ascii="Arial" w:hAnsi="Arial"/>
        </w:rPr>
        <w:t>Targi Sima 2022 będzie okazją do zaprezentowania przez AMAZONE nowego siewnika Centaya 3000 Special, który rozszerza ofertę pneumatycznych siewników nabudowanych. Nowy typ produktu w ofercie Centaya zastępuje nabudowany siewnik AD-P Special.</w:t>
      </w:r>
    </w:p>
    <w:p w14:paraId="2D6F1CEF" w14:textId="77777777" w:rsidR="00060DFC" w:rsidRPr="00060DFC" w:rsidRDefault="00060DFC" w:rsidP="00060DFC">
      <w:pPr>
        <w:spacing w:after="120" w:line="360" w:lineRule="auto"/>
        <w:ind w:left="567" w:right="1695"/>
        <w:rPr>
          <w:rFonts w:ascii="Arial" w:eastAsia="Arial" w:hAnsi="Arial" w:cs="Arial"/>
        </w:rPr>
      </w:pPr>
      <w:r>
        <w:rPr>
          <w:rFonts w:ascii="Arial" w:hAnsi="Arial"/>
        </w:rPr>
        <w:t xml:space="preserve">Centaya Special oferowany jest ze zbiornikami ziarna 1000 l i 1500 l oraz </w:t>
      </w:r>
      <w:bookmarkStart w:id="0" w:name="_GoBack"/>
      <w:bookmarkEnd w:id="0"/>
      <w:r>
        <w:rPr>
          <w:rFonts w:ascii="Arial" w:hAnsi="Arial"/>
        </w:rPr>
        <w:t>szerokości roboczej 3 m. Pneumatyczny nabudowany siewnik może być wyposażony w redlicę jednotalerzową RoTeC lub w redlicę dwutalerzową TwinTeC Special.</w:t>
      </w:r>
    </w:p>
    <w:p w14:paraId="1AB5B985" w14:textId="77777777" w:rsidR="00060DFC" w:rsidRPr="00060DFC" w:rsidRDefault="00060DFC" w:rsidP="00060DFC">
      <w:pPr>
        <w:spacing w:after="120" w:line="360" w:lineRule="auto"/>
        <w:ind w:left="567" w:right="1695"/>
        <w:rPr>
          <w:rFonts w:ascii="Arial" w:eastAsia="Arial" w:hAnsi="Arial" w:cs="Arial"/>
        </w:rPr>
      </w:pPr>
    </w:p>
    <w:p w14:paraId="489ADBBD" w14:textId="77777777" w:rsidR="00060DFC" w:rsidRPr="00060DFC" w:rsidRDefault="00060DFC" w:rsidP="00060DFC">
      <w:pPr>
        <w:spacing w:after="120" w:line="360" w:lineRule="auto"/>
        <w:ind w:left="567" w:right="1695"/>
        <w:rPr>
          <w:rFonts w:ascii="Arial" w:eastAsia="Arial" w:hAnsi="Arial" w:cs="Arial"/>
          <w:b/>
          <w:bCs/>
        </w:rPr>
      </w:pPr>
      <w:r>
        <w:rPr>
          <w:rFonts w:ascii="Arial" w:hAnsi="Arial"/>
          <w:b/>
        </w:rPr>
        <w:t>Kompaktowy, przyjazny dla użytkownika, precyzyjny</w:t>
      </w:r>
    </w:p>
    <w:p w14:paraId="4E975E0B" w14:textId="5B945D4F" w:rsidR="00060DFC" w:rsidRPr="00060DFC" w:rsidRDefault="00060DFC" w:rsidP="00060DFC">
      <w:pPr>
        <w:spacing w:after="120" w:line="360" w:lineRule="auto"/>
        <w:ind w:left="567" w:right="1695"/>
        <w:rPr>
          <w:rFonts w:ascii="Arial" w:eastAsia="Arial" w:hAnsi="Arial" w:cs="Arial"/>
        </w:rPr>
      </w:pPr>
      <w:r>
        <w:rPr>
          <w:rFonts w:ascii="Arial" w:hAnsi="Arial"/>
        </w:rPr>
        <w:t>Segmentowa głowica rozdzielająca siewnika Centaya Special jest usytuowana za zbiornikiem ziarna, bezpośrednio ponad redlicami. Takie rozmieszczenie zapewnia krótkie odcinki transportowe ziarna. Dzięki temu zbiornik znajduje się blisko ciągnika, zatem ma optymalne położenie środka ciężkości. Głowica rozdzielająca jest łatwo dostępna przez pomost załadunkowy i dzięki temu może być regularnie kontrolowana. Regulacja systemu ścieżek technologicznych jest również łatwa do wykonania ze względu na dobrą dostępność.</w:t>
      </w:r>
    </w:p>
    <w:p w14:paraId="2F83BDA7" w14:textId="11232B32" w:rsidR="00060DFC" w:rsidRPr="00060DFC" w:rsidRDefault="00060DFC" w:rsidP="00060DFC">
      <w:pPr>
        <w:spacing w:after="120" w:line="360" w:lineRule="auto"/>
        <w:ind w:left="567" w:right="1695"/>
        <w:rPr>
          <w:rFonts w:ascii="Arial" w:eastAsia="Arial" w:hAnsi="Arial" w:cs="Arial"/>
        </w:rPr>
      </w:pPr>
      <w:r>
        <w:rPr>
          <w:rFonts w:ascii="Arial" w:hAnsi="Arial"/>
        </w:rPr>
        <w:t>Niska konstrukcja zbiornika daje kierowcy lepszy przegląd maszyny. Duży otwór napełniania o wymiarach 2,30 × 0,84 m umożliwia szybkie i bezproblemowe napełnianie zbiornika przy użyciu big-baga, szufli ładowacza czołowego, jak również materiału siewnego w workach. Dzięki ostro zakończonemu dołowi i stromym ścianom zbiornika nasiona są pewnie prowadzone do dozownika. Ponadto nie pozostają prawie żadne resztki.</w:t>
      </w:r>
    </w:p>
    <w:p w14:paraId="6C0F8CA7" w14:textId="77777777" w:rsidR="00060DFC" w:rsidRPr="00060DFC" w:rsidRDefault="00060DFC" w:rsidP="00060DFC">
      <w:pPr>
        <w:spacing w:after="120" w:line="360" w:lineRule="auto"/>
        <w:ind w:left="567" w:right="1695"/>
        <w:rPr>
          <w:rFonts w:ascii="Arial" w:eastAsia="Arial" w:hAnsi="Arial" w:cs="Arial"/>
        </w:rPr>
      </w:pPr>
      <w:r>
        <w:rPr>
          <w:rFonts w:ascii="Arial" w:hAnsi="Arial"/>
        </w:rPr>
        <w:t xml:space="preserve">Siewnik nabudowany Centaya Special jest sterowany przez ISOBUS. Opracowane przez AMAZONE oprogramowanie umożliwia kierowcy intuicyjną </w:t>
      </w:r>
      <w:r>
        <w:rPr>
          <w:rFonts w:ascii="Arial" w:hAnsi="Arial"/>
        </w:rPr>
        <w:lastRenderedPageBreak/>
        <w:t>obsługę. W połączeniu z TwinTerminal można więc szybko i łatwo przygotować maszynę do pracy w terenie.</w:t>
      </w:r>
    </w:p>
    <w:p w14:paraId="59499F9D" w14:textId="30332AFB" w:rsidR="00060DFC" w:rsidRPr="00060DFC" w:rsidRDefault="00060DFC" w:rsidP="004135F6">
      <w:pPr>
        <w:rPr>
          <w:rFonts w:ascii="Arial" w:eastAsia="Arial" w:hAnsi="Arial" w:cs="Arial"/>
        </w:rPr>
      </w:pPr>
    </w:p>
    <w:p w14:paraId="6017DD5A" w14:textId="77777777" w:rsidR="00060DFC" w:rsidRPr="00060DFC" w:rsidRDefault="00060DFC" w:rsidP="00060DFC">
      <w:pPr>
        <w:spacing w:after="120" w:line="360" w:lineRule="auto"/>
        <w:ind w:left="567" w:right="1695"/>
        <w:rPr>
          <w:rFonts w:ascii="Arial" w:eastAsia="Arial" w:hAnsi="Arial" w:cs="Arial"/>
          <w:b/>
          <w:bCs/>
        </w:rPr>
      </w:pPr>
      <w:r>
        <w:rPr>
          <w:rFonts w:ascii="Arial" w:hAnsi="Arial"/>
          <w:b/>
        </w:rPr>
        <w:lastRenderedPageBreak/>
        <w:t>Inteligentna kalibracja</w:t>
      </w:r>
    </w:p>
    <w:p w14:paraId="50FA3554" w14:textId="787D3E19" w:rsidR="00060DFC" w:rsidRPr="00060DFC" w:rsidRDefault="00060DFC" w:rsidP="00060DFC">
      <w:pPr>
        <w:spacing w:after="120" w:line="360" w:lineRule="auto"/>
        <w:ind w:left="567" w:right="1695"/>
        <w:rPr>
          <w:rFonts w:ascii="Arial" w:eastAsia="Arial" w:hAnsi="Arial" w:cs="Arial"/>
        </w:rPr>
      </w:pPr>
      <w:r>
        <w:rPr>
          <w:rFonts w:ascii="Arial" w:hAnsi="Arial"/>
        </w:rPr>
        <w:t>Kalibrację zbiornika ziarna można wykonać wygodnie korzystając z pomostu załadowczego. Łatwo dostępny dozownik na dnie zbiornika zapewnia równomierne dozowanie materiału siewnego. Nasiona są zbierane do naczynia kalibracyjnego i ważone za pomocą seryjnej wagi.</w:t>
      </w:r>
    </w:p>
    <w:p w14:paraId="13029C6E" w14:textId="77C42CC8" w:rsidR="00060DFC" w:rsidRPr="00060DFC" w:rsidRDefault="00060DFC" w:rsidP="00060DFC">
      <w:pPr>
        <w:spacing w:after="120" w:line="360" w:lineRule="auto"/>
        <w:ind w:left="567" w:right="1695"/>
        <w:rPr>
          <w:rFonts w:ascii="Arial" w:eastAsia="Arial" w:hAnsi="Arial" w:cs="Arial"/>
        </w:rPr>
      </w:pPr>
      <w:r>
        <w:rPr>
          <w:rFonts w:ascii="Arial" w:hAnsi="Arial"/>
        </w:rPr>
        <w:t>Do różnych nasion lub norm wysiewu AMAZONE oferuje kilka kaset dozujących współpracujących z Centaya Special. Aby wymienić kasety dozujące, wystarczy poluzować dwie śruby bezpośrednio na dozowniku za pomocą seryjnego narzędzia.</w:t>
      </w:r>
    </w:p>
    <w:p w14:paraId="6637F1D7" w14:textId="1E370598" w:rsidR="00060DFC" w:rsidRPr="00060DFC" w:rsidRDefault="00060DFC" w:rsidP="00060DFC">
      <w:pPr>
        <w:spacing w:after="120" w:line="360" w:lineRule="auto"/>
        <w:ind w:left="567" w:right="1695"/>
        <w:rPr>
          <w:rFonts w:ascii="Arial" w:eastAsia="Arial" w:hAnsi="Arial" w:cs="Arial"/>
        </w:rPr>
      </w:pPr>
      <w:r>
        <w:rPr>
          <w:rFonts w:ascii="Arial" w:hAnsi="Arial"/>
        </w:rPr>
        <w:t>Aby jeszcze bardziej uprościć wstępne dozowanie, kalibrację i opróżnianie z resztek nasion, AMAZONE oferuje pakiet Comfort z TwinTerminal 3.0 dla Centaya Special w połączeniu z terminalem obsługowym AmaTron 4. Terminal ten jest zamocowany za pomocą magnesu w pobliżu dozownika. Kalibracja odbywa się więc bezpośrednio na maszynie i nie ma potrzeby wielokrotnego wchodzenia i wychodzenia z ciągnika. Do sterowania poprzez ISOBUS agregatem uprawowo-siewnym można stosować opcjonalnie terminal AmaTron 4, AmaPad 2 AMAZONE bądź dowolny terminal ISOBUS innego producenta.</w:t>
      </w:r>
    </w:p>
    <w:p w14:paraId="0B45A2B2" w14:textId="77777777" w:rsidR="00060DFC" w:rsidRPr="00060DFC" w:rsidRDefault="00060DFC" w:rsidP="00060DFC">
      <w:pPr>
        <w:spacing w:after="120" w:line="360" w:lineRule="auto"/>
        <w:ind w:left="567" w:right="1695"/>
        <w:rPr>
          <w:rFonts w:ascii="Arial" w:eastAsia="Arial" w:hAnsi="Arial" w:cs="Arial"/>
        </w:rPr>
      </w:pPr>
    </w:p>
    <w:p w14:paraId="097F3520" w14:textId="77777777" w:rsidR="00060DFC" w:rsidRPr="00060DFC" w:rsidRDefault="00060DFC" w:rsidP="00060DFC">
      <w:pPr>
        <w:spacing w:after="120" w:line="360" w:lineRule="auto"/>
        <w:ind w:left="567" w:right="1695"/>
        <w:rPr>
          <w:rFonts w:ascii="Arial" w:eastAsia="Arial" w:hAnsi="Arial" w:cs="Arial"/>
        </w:rPr>
      </w:pPr>
      <w:r>
        <w:rPr>
          <w:rFonts w:ascii="Arial" w:hAnsi="Arial"/>
          <w:b/>
        </w:rPr>
        <w:t>Redlica jednotalerzowa lub dwutalerzowa</w:t>
      </w:r>
    </w:p>
    <w:p w14:paraId="71141076" w14:textId="3BF6DD7B" w:rsidR="00060DFC" w:rsidRPr="00060DFC" w:rsidRDefault="00060DFC" w:rsidP="00060DFC">
      <w:pPr>
        <w:spacing w:after="120" w:line="360" w:lineRule="auto"/>
        <w:ind w:left="567" w:right="1695"/>
        <w:rPr>
          <w:rFonts w:ascii="Arial" w:eastAsia="Arial" w:hAnsi="Arial" w:cs="Arial"/>
        </w:rPr>
      </w:pPr>
      <w:r>
        <w:rPr>
          <w:rFonts w:ascii="Arial" w:hAnsi="Arial"/>
        </w:rPr>
        <w:t>Siewnik Centaya Special może być wyposażony w redlicę jednotalerzową RoTeC pro lub redlicę dwutalerzową TwinTeC.</w:t>
      </w:r>
    </w:p>
    <w:p w14:paraId="0C04A42F" w14:textId="089B9606" w:rsidR="00060DFC" w:rsidRPr="00060DFC" w:rsidRDefault="00060DFC" w:rsidP="00060DFC">
      <w:pPr>
        <w:spacing w:after="120" w:line="360" w:lineRule="auto"/>
        <w:ind w:left="567" w:right="1695"/>
        <w:rPr>
          <w:rFonts w:ascii="Arial" w:eastAsia="Arial" w:hAnsi="Arial" w:cs="Arial"/>
        </w:rPr>
      </w:pPr>
      <w:r>
        <w:rPr>
          <w:rFonts w:ascii="Arial" w:hAnsi="Arial"/>
        </w:rPr>
        <w:t>Redlice RoTeC są bezobsługowe i stworzone do niezawodnej pracy także przy dużej ilości słomy i resztek roślin. Tworzenie redlin wysiewu i optymalne prowadzenie w glebie odbywa się z jednej strony przez tarczę wysiewającą a z drugiej, przez czubek redlicy. Tarcza ograniczająca głębokość Control 10 lub Control 25 zapobiega przywieraniu gleby do tarczy wysiewającej i zapewnia niezawodne utrzymywanie ustawionej głębokości siewu. Można wybrać rozstawy rzędów 12,5 cm i 15 cm.</w:t>
      </w:r>
    </w:p>
    <w:p w14:paraId="291B6941" w14:textId="77777777" w:rsidR="00060DFC" w:rsidRPr="00060DFC" w:rsidRDefault="00060DFC" w:rsidP="00060DFC">
      <w:pPr>
        <w:spacing w:after="120" w:line="360" w:lineRule="auto"/>
        <w:ind w:left="567" w:right="1695"/>
        <w:rPr>
          <w:rFonts w:ascii="Arial" w:eastAsia="Arial" w:hAnsi="Arial" w:cs="Arial"/>
        </w:rPr>
      </w:pPr>
      <w:r>
        <w:rPr>
          <w:rFonts w:ascii="Arial" w:hAnsi="Arial"/>
        </w:rPr>
        <w:t xml:space="preserve">Zastosowana w siewniku wydajna redlica dwutalerzowa TwinTeC Special jest wyjątkowo precyzyjna i wytrzymała. Przy średnicy talerza 340 mm i nacisku 40 </w:t>
      </w:r>
      <w:r>
        <w:rPr>
          <w:rFonts w:ascii="Arial" w:hAnsi="Arial"/>
        </w:rPr>
        <w:lastRenderedPageBreak/>
        <w:t>kg, redlica umożliwia bardzo dokładne i czyste odkładanie nasion nawet przy dużych prędkościach i na zmiennych glebach. Dzięki nadążnej rolce ograniczającej głębokość, zawsze jest zapewnione dobre zamknięcie rowka, co zapewnia optymalne odkładanie nasion. Nawet w najtrudniejszych warunkach, redlica wyróżnia się spokojną pracą. Rozstaw rzędów wynosi 15 cm.</w:t>
      </w:r>
    </w:p>
    <w:p w14:paraId="1BA1B5B6" w14:textId="77777777" w:rsidR="00060DFC" w:rsidRPr="00060DFC" w:rsidRDefault="00060DFC" w:rsidP="00060DFC">
      <w:pPr>
        <w:spacing w:after="120" w:line="360" w:lineRule="auto"/>
        <w:ind w:left="567" w:right="1695"/>
        <w:rPr>
          <w:rFonts w:ascii="Arial" w:eastAsia="Arial" w:hAnsi="Arial" w:cs="Arial"/>
        </w:rPr>
      </w:pPr>
    </w:p>
    <w:p w14:paraId="25C4CB74" w14:textId="77777777" w:rsidR="00060DFC" w:rsidRPr="00060DFC" w:rsidRDefault="00060DFC" w:rsidP="00060DFC">
      <w:pPr>
        <w:spacing w:after="120" w:line="360" w:lineRule="auto"/>
        <w:ind w:left="567" w:right="1695"/>
        <w:rPr>
          <w:rFonts w:ascii="Arial" w:eastAsia="Arial" w:hAnsi="Arial" w:cs="Arial"/>
        </w:rPr>
      </w:pPr>
      <w:r>
        <w:rPr>
          <w:rFonts w:ascii="Arial" w:hAnsi="Arial"/>
          <w:b/>
        </w:rPr>
        <w:t xml:space="preserve">System szybkiego łączenia QuickLink </w:t>
      </w:r>
    </w:p>
    <w:p w14:paraId="50980B04" w14:textId="204AF40F" w:rsidR="00A52775" w:rsidRDefault="00060DFC" w:rsidP="00020E12">
      <w:pPr>
        <w:spacing w:after="120" w:line="360" w:lineRule="auto"/>
        <w:ind w:left="567" w:right="1695"/>
        <w:rPr>
          <w:rFonts w:ascii="Arial" w:eastAsia="Arial" w:hAnsi="Arial" w:cs="Arial"/>
        </w:rPr>
      </w:pPr>
      <w:r>
        <w:rPr>
          <w:rFonts w:ascii="Arial" w:hAnsi="Arial"/>
        </w:rPr>
        <w:t>Siewnik nabudowany Centaya Special można bardzo łatwo, szybko i bez użycia narzędzi połączyć z różnymi maszynami uprawowymi Amazone za pomocą systemu szybkiego łączenia QuickLink. W zależności od warunków glebowych możliwe jest połączenie z bronami wirnikowymi KE 02 lub kultywatorami wirnikowymi KG i KX. Na bardzo lekkich glebach siewnik Centaya Special może być używany z kompaktową broną talerzową CombiDisc.</w:t>
      </w:r>
    </w:p>
    <w:p w14:paraId="7681B56B" w14:textId="6919BF22" w:rsidR="00020E12" w:rsidRDefault="00020E12" w:rsidP="00020E12">
      <w:pPr>
        <w:spacing w:after="120" w:line="360" w:lineRule="auto"/>
        <w:ind w:left="567" w:right="1695"/>
        <w:rPr>
          <w:rFonts w:ascii="Arial" w:eastAsia="Arial" w:hAnsi="Arial" w:cs="Arial"/>
        </w:rPr>
      </w:pPr>
    </w:p>
    <w:p w14:paraId="07F6B243" w14:textId="77777777" w:rsidR="00020E12" w:rsidRPr="00020E12" w:rsidRDefault="00020E12" w:rsidP="00020E12">
      <w:pPr>
        <w:spacing w:after="120" w:line="360" w:lineRule="auto"/>
        <w:ind w:left="567" w:right="1695"/>
        <w:rPr>
          <w:rFonts w:ascii="Arial" w:eastAsia="Arial" w:hAnsi="Arial" w:cs="Arial"/>
        </w:rPr>
      </w:pPr>
    </w:p>
    <w:p w14:paraId="5798FBD9" w14:textId="246DE0FA" w:rsidR="0061248F" w:rsidRDefault="00A52775" w:rsidP="00070765">
      <w:pPr>
        <w:spacing w:after="120" w:line="360" w:lineRule="auto"/>
        <w:ind w:left="567" w:right="1695"/>
        <w:rPr>
          <w:rFonts w:ascii="Arial" w:hAnsi="Arial" w:cs="Arial"/>
          <w:bCs/>
        </w:rPr>
      </w:pPr>
      <w:r>
        <w:rPr>
          <w:rFonts w:ascii="Arial" w:hAnsi="Arial"/>
          <w:noProof/>
          <w:lang w:val="de-DE"/>
        </w:rPr>
        <w:drawing>
          <wp:inline distT="0" distB="0" distL="0" distR="0" wp14:anchorId="265CA1D3" wp14:editId="5E4DF49C">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BE48E85"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Centaya 3000 Special z redlicą dwutalerzową TwinTeC Special</w:t>
      </w:r>
    </w:p>
    <w:p w14:paraId="24C69FAF" w14:textId="75545F03" w:rsidR="00D43C2A" w:rsidRPr="00060DFC" w:rsidRDefault="00D43C2A" w:rsidP="00D43C2A">
      <w:pPr>
        <w:tabs>
          <w:tab w:val="left" w:pos="3550"/>
        </w:tabs>
        <w:spacing w:line="360" w:lineRule="auto"/>
        <w:ind w:left="567" w:right="1128"/>
        <w:rPr>
          <w:rFonts w:ascii="Arial" w:hAnsi="Arial" w:cs="Arial"/>
          <w:bCs/>
          <w:lang w:val="en-US"/>
        </w:rPr>
      </w:pPr>
    </w:p>
    <w:p w14:paraId="40CDFE03" w14:textId="39967FBF" w:rsidR="00060DFC" w:rsidRPr="00060DFC" w:rsidRDefault="00060DFC" w:rsidP="00D43C2A">
      <w:pPr>
        <w:tabs>
          <w:tab w:val="left" w:pos="3550"/>
        </w:tabs>
        <w:spacing w:line="360" w:lineRule="auto"/>
        <w:ind w:left="567" w:right="1128"/>
        <w:rPr>
          <w:rFonts w:ascii="Arial" w:hAnsi="Arial" w:cs="Arial"/>
          <w:bCs/>
          <w:lang w:val="en-US"/>
        </w:rPr>
      </w:pPr>
    </w:p>
    <w:p w14:paraId="5DAFA73D" w14:textId="2BA384DB" w:rsidR="00060DFC" w:rsidRPr="00060DFC" w:rsidRDefault="00A52775" w:rsidP="00D43C2A">
      <w:pPr>
        <w:tabs>
          <w:tab w:val="left" w:pos="3550"/>
        </w:tabs>
        <w:spacing w:line="360" w:lineRule="auto"/>
        <w:ind w:left="567" w:right="1128"/>
        <w:rPr>
          <w:rFonts w:ascii="Arial" w:hAnsi="Arial" w:cs="Arial"/>
          <w:bCs/>
        </w:rPr>
      </w:pPr>
      <w:r>
        <w:rPr>
          <w:rFonts w:ascii="Arial" w:hAnsi="Arial"/>
          <w:noProof/>
          <w:lang w:val="de-DE"/>
        </w:rPr>
        <w:lastRenderedPageBreak/>
        <w:drawing>
          <wp:inline distT="0" distB="0" distL="0" distR="0" wp14:anchorId="3B2C86D2" wp14:editId="6508B51F">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29DB4B"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Centaya 3000 Special z przednim wałem uprawowym Nautilus</w:t>
      </w:r>
    </w:p>
    <w:p w14:paraId="0EC1D658" w14:textId="723556DE" w:rsidR="00060DFC" w:rsidRDefault="00060DFC" w:rsidP="00D43C2A">
      <w:pPr>
        <w:tabs>
          <w:tab w:val="left" w:pos="3550"/>
        </w:tabs>
        <w:spacing w:line="360" w:lineRule="auto"/>
        <w:ind w:left="567" w:right="1128"/>
        <w:rPr>
          <w:rFonts w:ascii="Arial" w:hAnsi="Arial" w:cs="Arial"/>
          <w:bCs/>
          <w:lang w:val="en-US"/>
        </w:rPr>
      </w:pPr>
    </w:p>
    <w:p w14:paraId="03528554" w14:textId="0FD1929A" w:rsidR="00060DFC" w:rsidRDefault="00060DFC" w:rsidP="00D43C2A">
      <w:pPr>
        <w:tabs>
          <w:tab w:val="left" w:pos="3550"/>
        </w:tabs>
        <w:spacing w:line="360" w:lineRule="auto"/>
        <w:ind w:left="567" w:right="1128"/>
        <w:rPr>
          <w:rFonts w:ascii="Arial" w:hAnsi="Arial" w:cs="Arial"/>
          <w:bCs/>
          <w:lang w:val="en-US"/>
        </w:rPr>
      </w:pPr>
    </w:p>
    <w:p w14:paraId="75F1E26E" w14:textId="3BD0BD8C" w:rsidR="00060DFC" w:rsidRDefault="00A52775" w:rsidP="00D43C2A">
      <w:pPr>
        <w:tabs>
          <w:tab w:val="left" w:pos="3550"/>
        </w:tabs>
        <w:spacing w:line="360" w:lineRule="auto"/>
        <w:ind w:left="567" w:right="1128"/>
        <w:rPr>
          <w:rFonts w:ascii="Arial" w:hAnsi="Arial" w:cs="Arial"/>
          <w:bCs/>
        </w:rPr>
      </w:pPr>
      <w:r>
        <w:rPr>
          <w:rFonts w:ascii="Arial" w:hAnsi="Arial"/>
          <w:noProof/>
          <w:lang w:val="de-DE"/>
        </w:rPr>
        <w:drawing>
          <wp:inline distT="0" distB="0" distL="0" distR="0" wp14:anchorId="520473A8" wp14:editId="14F6C242">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0EA5E2E2"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Do inteligentnej kalibracji AMAZONE oferuje pakiet Comfort z TwinTerminal 3.0</w:t>
      </w:r>
    </w:p>
    <w:p w14:paraId="1FC51427" w14:textId="7CB14C2D" w:rsidR="00060DFC" w:rsidRPr="00060DFC" w:rsidRDefault="00060DFC" w:rsidP="00D43C2A">
      <w:pPr>
        <w:tabs>
          <w:tab w:val="left" w:pos="3550"/>
        </w:tabs>
        <w:spacing w:line="360" w:lineRule="auto"/>
        <w:ind w:left="567" w:right="1128"/>
        <w:rPr>
          <w:rFonts w:ascii="Arial" w:hAnsi="Arial" w:cs="Arial"/>
          <w:bCs/>
        </w:rPr>
      </w:pPr>
    </w:p>
    <w:p w14:paraId="38C44858" w14:textId="5D182452" w:rsidR="00060DFC" w:rsidRPr="00060DFC" w:rsidRDefault="00060DFC" w:rsidP="00D43C2A">
      <w:pPr>
        <w:tabs>
          <w:tab w:val="left" w:pos="3550"/>
        </w:tabs>
        <w:spacing w:line="360" w:lineRule="auto"/>
        <w:ind w:left="567" w:right="1128"/>
        <w:rPr>
          <w:rFonts w:ascii="Arial" w:hAnsi="Arial" w:cs="Arial"/>
          <w:bCs/>
        </w:rPr>
      </w:pPr>
    </w:p>
    <w:p w14:paraId="02363B27" w14:textId="27D5F560" w:rsidR="00060DFC" w:rsidRPr="00060DFC" w:rsidRDefault="00A52775" w:rsidP="00D43C2A">
      <w:pPr>
        <w:tabs>
          <w:tab w:val="left" w:pos="3550"/>
        </w:tabs>
        <w:spacing w:line="360" w:lineRule="auto"/>
        <w:ind w:left="567" w:right="1128"/>
        <w:rPr>
          <w:rFonts w:ascii="Arial" w:hAnsi="Arial" w:cs="Arial"/>
          <w:bCs/>
        </w:rPr>
      </w:pPr>
      <w:r>
        <w:rPr>
          <w:rFonts w:ascii="Arial" w:hAnsi="Arial"/>
          <w:noProof/>
          <w:lang w:val="de-DE"/>
        </w:rPr>
        <w:lastRenderedPageBreak/>
        <w:drawing>
          <wp:inline distT="0" distB="0" distL="0" distR="0" wp14:anchorId="56332B6E" wp14:editId="3408B6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9662B9"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Redlica dwutalerzowa TwinTeC Special z jednoramiennym układem zawieszenia</w:t>
      </w:r>
    </w:p>
    <w:p w14:paraId="7E848825" w14:textId="361C371B" w:rsidR="00060DFC" w:rsidRDefault="00060DFC" w:rsidP="00D43C2A">
      <w:pPr>
        <w:tabs>
          <w:tab w:val="left" w:pos="3550"/>
        </w:tabs>
        <w:spacing w:line="360" w:lineRule="auto"/>
        <w:ind w:left="567" w:right="1128"/>
        <w:rPr>
          <w:rFonts w:ascii="Arial" w:hAnsi="Arial" w:cs="Arial"/>
          <w:bCs/>
        </w:rPr>
      </w:pPr>
    </w:p>
    <w:p w14:paraId="737ADA0D" w14:textId="4B0C1D5B" w:rsidR="00060DFC" w:rsidRDefault="00060DFC" w:rsidP="00D43C2A">
      <w:pPr>
        <w:tabs>
          <w:tab w:val="left" w:pos="3550"/>
        </w:tabs>
        <w:spacing w:line="360" w:lineRule="auto"/>
        <w:ind w:left="567" w:right="1128"/>
        <w:rPr>
          <w:rFonts w:ascii="Arial" w:hAnsi="Arial" w:cs="Arial"/>
          <w:bCs/>
        </w:rPr>
      </w:pPr>
    </w:p>
    <w:p w14:paraId="5BBEE52E" w14:textId="5EAB6263" w:rsidR="00060DFC" w:rsidRDefault="00A52775" w:rsidP="00D43C2A">
      <w:pPr>
        <w:tabs>
          <w:tab w:val="left" w:pos="3550"/>
        </w:tabs>
        <w:spacing w:line="360" w:lineRule="auto"/>
        <w:ind w:left="567" w:right="1128"/>
        <w:rPr>
          <w:rFonts w:ascii="Arial" w:hAnsi="Arial" w:cs="Arial"/>
          <w:bCs/>
        </w:rPr>
      </w:pPr>
      <w:r>
        <w:rPr>
          <w:rFonts w:ascii="Arial" w:hAnsi="Arial"/>
          <w:noProof/>
          <w:lang w:val="de-DE"/>
        </w:rPr>
        <w:drawing>
          <wp:inline distT="0" distB="0" distL="0" distR="0" wp14:anchorId="6FEA46CE" wp14:editId="06779EE7">
            <wp:extent cx="45468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46800" cy="2880000"/>
                    </a:xfrm>
                    <a:prstGeom prst="rect">
                      <a:avLst/>
                    </a:prstGeom>
                  </pic:spPr>
                </pic:pic>
              </a:graphicData>
            </a:graphic>
          </wp:inline>
        </w:drawing>
      </w:r>
    </w:p>
    <w:p w14:paraId="05B7799B" w14:textId="4E9F227C" w:rsidR="00060DFC" w:rsidRPr="00060DFC" w:rsidRDefault="00060DFC" w:rsidP="00060DFC">
      <w:pPr>
        <w:tabs>
          <w:tab w:val="left" w:pos="3550"/>
        </w:tabs>
        <w:spacing w:line="360" w:lineRule="auto"/>
        <w:ind w:left="567" w:right="1128"/>
        <w:rPr>
          <w:rFonts w:ascii="Arial" w:hAnsi="Arial" w:cs="Arial"/>
          <w:bCs/>
        </w:rPr>
      </w:pPr>
      <w:r>
        <w:rPr>
          <w:rFonts w:ascii="Arial" w:hAnsi="Arial"/>
        </w:rPr>
        <w:t>Siewnik nabudowany Centaya 3000 Special jest połączony z broną wirnikową KE 3002-190 Rotamix poprzez system szybkiego łączenia QuickLink</w:t>
      </w:r>
    </w:p>
    <w:p w14:paraId="650B4B87" w14:textId="77777777" w:rsidR="00060DFC" w:rsidRPr="00060DFC" w:rsidRDefault="00060DFC" w:rsidP="00D43C2A">
      <w:pPr>
        <w:tabs>
          <w:tab w:val="left" w:pos="3550"/>
        </w:tabs>
        <w:spacing w:line="360" w:lineRule="auto"/>
        <w:ind w:left="567" w:right="1128"/>
        <w:rPr>
          <w:rFonts w:ascii="Arial" w:hAnsi="Arial" w:cs="Arial"/>
          <w:bCs/>
        </w:rPr>
      </w:pPr>
    </w:p>
    <w:p w14:paraId="686DFE13" w14:textId="77777777" w:rsidR="00D43C2A" w:rsidRPr="00060DFC" w:rsidRDefault="00D43C2A" w:rsidP="00D43C2A">
      <w:pPr>
        <w:tabs>
          <w:tab w:val="left" w:pos="3550"/>
        </w:tabs>
        <w:spacing w:line="360" w:lineRule="auto"/>
        <w:ind w:left="567" w:right="1128"/>
        <w:rPr>
          <w:rFonts w:ascii="Arial" w:hAnsi="Arial" w:cs="Arial"/>
          <w:bCs/>
        </w:rPr>
      </w:pPr>
    </w:p>
    <w:p w14:paraId="7E3328C1" w14:textId="77777777" w:rsidR="00D43C2A" w:rsidRPr="00060DFC" w:rsidRDefault="00D43C2A" w:rsidP="00D43C2A">
      <w:pPr>
        <w:tabs>
          <w:tab w:val="left" w:pos="3550"/>
        </w:tabs>
        <w:spacing w:line="360" w:lineRule="auto"/>
        <w:ind w:left="567" w:right="1128"/>
        <w:rPr>
          <w:rFonts w:ascii="Arial" w:hAnsi="Arial" w:cs="Arial"/>
          <w:bCs/>
        </w:rPr>
      </w:pPr>
    </w:p>
    <w:p w14:paraId="6444E239" w14:textId="40EC9760" w:rsidR="00D43C2A" w:rsidRPr="00060DFC" w:rsidRDefault="00A52775" w:rsidP="00D43C2A">
      <w:pPr>
        <w:tabs>
          <w:tab w:val="left" w:pos="3550"/>
        </w:tabs>
        <w:spacing w:line="360" w:lineRule="auto"/>
        <w:ind w:left="567" w:right="1128"/>
        <w:rPr>
          <w:rFonts w:ascii="Arial" w:hAnsi="Arial" w:cs="Arial"/>
          <w:bCs/>
        </w:rPr>
      </w:pPr>
      <w:r>
        <w:rPr>
          <w:rFonts w:ascii="Arial" w:hAnsi="Arial"/>
          <w:noProof/>
          <w:lang w:val="de-DE"/>
        </w:rPr>
        <w:drawing>
          <wp:inline distT="0" distB="0" distL="0" distR="0" wp14:anchorId="4F781517" wp14:editId="654CDA2F">
            <wp:extent cx="348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36AE6A7B" w14:textId="23BAE602" w:rsidR="00060DFC" w:rsidRPr="00060DFC" w:rsidRDefault="00060DFC" w:rsidP="00060DFC">
      <w:pPr>
        <w:tabs>
          <w:tab w:val="left" w:pos="3550"/>
        </w:tabs>
        <w:spacing w:line="360" w:lineRule="auto"/>
        <w:ind w:left="567" w:right="1128"/>
        <w:rPr>
          <w:rFonts w:ascii="Arial" w:hAnsi="Arial" w:cs="Arial"/>
          <w:bCs/>
        </w:rPr>
      </w:pPr>
      <w:r>
        <w:rPr>
          <w:rFonts w:ascii="Arial" w:hAnsi="Arial"/>
        </w:rPr>
        <w:t>Centaya 3000 spełnia wszystkie wymogi ruchu drogowego dzięki systemom oświetlenia drogowego.</w:t>
      </w:r>
    </w:p>
    <w:p w14:paraId="55A544E1" w14:textId="77777777" w:rsidR="00D43C2A" w:rsidRPr="00060DFC" w:rsidRDefault="00D43C2A" w:rsidP="00D43C2A">
      <w:pPr>
        <w:tabs>
          <w:tab w:val="left" w:pos="3550"/>
        </w:tabs>
        <w:spacing w:line="360" w:lineRule="auto"/>
        <w:ind w:left="567" w:right="1128"/>
        <w:rPr>
          <w:rFonts w:ascii="Arial" w:hAnsi="Arial" w:cs="Arial"/>
          <w:bCs/>
        </w:rPr>
      </w:pPr>
    </w:p>
    <w:p w14:paraId="62EEABE9" w14:textId="77777777" w:rsidR="00D43C2A" w:rsidRPr="00060DFC" w:rsidRDefault="00D43C2A" w:rsidP="00D43C2A">
      <w:pPr>
        <w:tabs>
          <w:tab w:val="left" w:pos="3550"/>
        </w:tabs>
        <w:spacing w:line="360" w:lineRule="auto"/>
        <w:ind w:left="567" w:right="1128"/>
        <w:rPr>
          <w:rFonts w:ascii="Arial" w:hAnsi="Arial" w:cs="Arial"/>
          <w:bCs/>
        </w:rPr>
      </w:pPr>
    </w:p>
    <w:p w14:paraId="122828C6" w14:textId="77777777" w:rsidR="00D43C2A" w:rsidRPr="00060DFC" w:rsidRDefault="00D43C2A" w:rsidP="00A52775">
      <w:pPr>
        <w:tabs>
          <w:tab w:val="left" w:pos="3550"/>
        </w:tabs>
        <w:spacing w:line="360" w:lineRule="auto"/>
        <w:ind w:right="1128"/>
        <w:rPr>
          <w:rFonts w:ascii="Arial" w:hAnsi="Arial" w:cs="Arial"/>
          <w:bCs/>
        </w:rPr>
      </w:pPr>
    </w:p>
    <w:p w14:paraId="2A162E6B" w14:textId="62953BE8" w:rsidR="00D43C2A" w:rsidRPr="00D27732"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2FFF8ED2" w14:textId="77777777" w:rsidR="00D43C2A" w:rsidRDefault="00D43C2A" w:rsidP="00D43C2A">
      <w:pPr>
        <w:spacing w:after="120" w:line="360" w:lineRule="auto"/>
        <w:ind w:left="567" w:right="1695"/>
        <w:rPr>
          <w:rFonts w:ascii="Arial" w:hAnsi="Arial" w:cs="Arial"/>
          <w:bCs/>
        </w:rPr>
      </w:pPr>
    </w:p>
    <w:p w14:paraId="7A16E0DB" w14:textId="77777777" w:rsidR="00D43C2A" w:rsidRPr="00D27732" w:rsidRDefault="00D43C2A" w:rsidP="00D43C2A">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5ABD3834" w14:textId="03688BD7" w:rsidR="00D43C2A" w:rsidRPr="00E12CE4"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r w:rsidR="00610CAF">
        <w:rPr>
          <w:rStyle w:val="Hyperlink"/>
          <w:rFonts w:ascii="Arial" w:hAnsi="Arial"/>
          <w:sz w:val="20"/>
        </w:rPr>
        <w:t>www.amazone.pl</w:t>
      </w:r>
    </w:p>
    <w:p w14:paraId="28220C77" w14:textId="77777777" w:rsidR="00D43C2A"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3D450873" wp14:editId="1C61E7B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3040DD5" wp14:editId="7D938BDA">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069248E" wp14:editId="7CAC26E3">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35CC15B" wp14:editId="4872B9A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449A777" wp14:editId="48AA71F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4A7B3896" w:rsidR="00A46482" w:rsidRDefault="00A46482" w:rsidP="00120F80">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A7C5E8" w14:textId="77777777" w:rsidR="006A3112" w:rsidRDefault="006A3112">
      <w:r>
        <w:separator/>
      </w:r>
    </w:p>
  </w:endnote>
  <w:endnote w:type="continuationSeparator" w:id="0">
    <w:p w14:paraId="707DE41C" w14:textId="77777777" w:rsidR="006A3112" w:rsidRDefault="006A3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B32DE">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B32DE">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B32DE">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B32DE">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1498C6" w:rsidR="005E0980" w:rsidRPr="00D744EF" w:rsidRDefault="005E0980" w:rsidP="006F7755">
                          <w:pPr>
                            <w:spacing w:line="280" w:lineRule="exact"/>
                            <w:rPr>
                              <w:rFonts w:ascii="Arial" w:hAnsi="Arial"/>
                              <w:spacing w:val="2"/>
                              <w:sz w:val="20"/>
                            </w:rPr>
                          </w:pPr>
                          <w:r>
                            <w:rPr>
                              <w:rFonts w:ascii="Arial" w:hAnsi="Arial"/>
                              <w:sz w:val="20"/>
                            </w:rPr>
                            <w:t>Telefon +49 (0)5405 501-0 ∙ ama</w:t>
                          </w:r>
                          <w:r w:rsidR="00610CAF">
                            <w:rPr>
                              <w:rFonts w:ascii="Arial" w:hAnsi="Arial"/>
                              <w:sz w:val="20"/>
                            </w:rPr>
                            <w:t>zone@amazone.de ∙ www.amazone.pl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1498C6" w:rsidR="005E0980" w:rsidRPr="00D744EF" w:rsidRDefault="005E0980" w:rsidP="006F7755">
                    <w:pPr>
                      <w:spacing w:line="280" w:lineRule="exact"/>
                      <w:rPr>
                        <w:rFonts w:ascii="Arial" w:hAnsi="Arial"/>
                        <w:spacing w:val="2"/>
                        <w:sz w:val="20"/>
                      </w:rPr>
                    </w:pPr>
                    <w:r>
                      <w:rPr>
                        <w:rFonts w:ascii="Arial" w:hAnsi="Arial"/>
                        <w:sz w:val="20"/>
                      </w:rPr>
                      <w:t>Telefon +49 (0)5405 501-0 ∙ ama</w:t>
                    </w:r>
                    <w:r w:rsidR="00610CAF">
                      <w:rPr>
                        <w:rFonts w:ascii="Arial" w:hAnsi="Arial"/>
                        <w:sz w:val="20"/>
                      </w:rPr>
                      <w:t>zone@amazone.de ∙ www.amazone.pl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C5139E" w14:textId="77777777" w:rsidR="006A3112" w:rsidRDefault="006A3112">
      <w:r>
        <w:separator/>
      </w:r>
    </w:p>
  </w:footnote>
  <w:footnote w:type="continuationSeparator" w:id="0">
    <w:p w14:paraId="0EFFD928" w14:textId="77777777" w:rsidR="006A3112" w:rsidRDefault="006A31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12FCB902" w:rsidR="005E0980" w:rsidRDefault="00E04CF5">
    <w:pPr>
      <w:pStyle w:val="Kopfzeile"/>
    </w:pPr>
    <w:r>
      <w:rPr>
        <w:noProof/>
        <w:lang w:val="de-DE"/>
      </w:rPr>
      <mc:AlternateContent>
        <mc:Choice Requires="wps">
          <w:drawing>
            <wp:anchor distT="45720" distB="45720" distL="114300" distR="114300" simplePos="0" relativeHeight="251668480" behindDoc="0" locked="0" layoutInCell="1" allowOverlap="1" wp14:anchorId="0452356F" wp14:editId="0E2504FF">
              <wp:simplePos x="0" y="0"/>
              <wp:positionH relativeFrom="column">
                <wp:posOffset>3673475</wp:posOffset>
              </wp:positionH>
              <wp:positionV relativeFrom="paragraph">
                <wp:posOffset>-643255</wp:posOffset>
              </wp:positionV>
              <wp:extent cx="3215005" cy="31496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005" cy="314960"/>
                      </a:xfrm>
                      <a:prstGeom prst="rect">
                        <a:avLst/>
                      </a:prstGeom>
                      <a:noFill/>
                      <a:ln w="9525">
                        <a:noFill/>
                        <a:miter lim="800000"/>
                        <a:headEnd/>
                        <a:tailEnd/>
                      </a:ln>
                    </wps:spPr>
                    <wps:txbx>
                      <w:txbxContent>
                        <w:p w14:paraId="7D4CA5A2" w14:textId="21B25EEB" w:rsidR="00E04CF5" w:rsidRPr="00956531" w:rsidRDefault="00E04CF5">
                          <w:pPr>
                            <w:rPr>
                              <w:rFonts w:ascii="Arial" w:hAnsi="Arial" w:cs="Arial"/>
                              <w:color w:val="FFFFFF" w:themeColor="background1"/>
                              <w:sz w:val="28"/>
                              <w:szCs w:val="28"/>
                            </w:rPr>
                          </w:pPr>
                          <w:r>
                            <w:rPr>
                              <w:rFonts w:ascii="Arial" w:hAnsi="Arial"/>
                              <w:color w:val="FFFFFF" w:themeColor="background1"/>
                              <w:sz w:val="28"/>
                            </w:rPr>
                            <w:t xml:space="preserve">Komunikat prasowy </w:t>
                          </w:r>
                          <w:r w:rsidR="00610CAF">
                            <w:rPr>
                              <w:rFonts w:ascii="Arial" w:hAnsi="Arial"/>
                              <w:color w:val="FFFFFF" w:themeColor="background1"/>
                              <w:sz w:val="28"/>
                            </w:rPr>
                            <w:t>p</w:t>
                          </w:r>
                          <w:r w:rsidR="00610CAF" w:rsidRPr="00610CAF">
                            <w:rPr>
                              <w:rFonts w:ascii="Arial" w:hAnsi="Arial"/>
                              <w:color w:val="FFFFFF" w:themeColor="background1"/>
                              <w:sz w:val="28"/>
                            </w:rPr>
                            <w:t>a</w:t>
                          </w:r>
                          <w:r w:rsidR="00610CAF" w:rsidRPr="00610CAF">
                            <w:rPr>
                              <w:rFonts w:ascii="Arial" w:hAnsi="Arial" w:hint="eastAsia"/>
                              <w:color w:val="FFFFFF" w:themeColor="background1"/>
                              <w:sz w:val="28"/>
                            </w:rPr>
                            <w:t>ź</w:t>
                          </w:r>
                          <w:r w:rsidR="00610CAF" w:rsidRPr="00610CAF">
                            <w:rPr>
                              <w:rFonts w:ascii="Arial" w:hAnsi="Arial"/>
                              <w:color w:val="FFFFFF" w:themeColor="background1"/>
                              <w:sz w:val="28"/>
                            </w:rPr>
                            <w:t>dziernik</w:t>
                          </w:r>
                          <w:r w:rsidR="007B32DE">
                            <w:rPr>
                              <w:rFonts w:ascii="Arial" w:hAnsi="Arial"/>
                              <w:color w:val="FFFFFF" w:themeColor="background1"/>
                              <w:sz w:val="28"/>
                            </w:rPr>
                            <w:t xml:space="preserve"> </w:t>
                          </w:r>
                          <w:r>
                            <w:rPr>
                              <w:rFonts w:ascii="Arial" w:hAnsi="Arial"/>
                              <w:color w:val="FFFFFF" w:themeColor="background1"/>
                              <w:sz w:val="28"/>
                            </w:rPr>
                            <w:t>2022 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52356F" id="_x0000_t202" coordsize="21600,21600" o:spt="202" path="m,l,21600r21600,l21600,xe">
              <v:stroke joinstyle="miter"/>
              <v:path gradientshapeok="t" o:connecttype="rect"/>
            </v:shapetype>
            <v:shape id="Textfeld 2" o:spid="_x0000_s1026" type="#_x0000_t202" style="position:absolute;margin-left:289.25pt;margin-top:-50.65pt;width:253.15pt;height:24.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" filled="f" stroked="f">
              <v:textbox>
                <w:txbxContent>
                  <w:p w14:paraId="7D4CA5A2" w14:textId="21B25EEB" w:rsidR="00E04CF5" w:rsidRPr="00956531" w:rsidRDefault="00E04CF5">
                    <w:pPr>
                      <w:rPr>
                        <w:rFonts w:ascii="Arial" w:hAnsi="Arial" w:cs="Arial"/>
                        <w:color w:val="FFFFFF" w:themeColor="background1"/>
                        <w:sz w:val="28"/>
                        <w:szCs w:val="28"/>
                      </w:rPr>
                    </w:pPr>
                    <w:r>
                      <w:rPr>
                        <w:rFonts w:ascii="Arial" w:hAnsi="Arial"/>
                        <w:color w:val="FFFFFF" w:themeColor="background1"/>
                        <w:sz w:val="28"/>
                      </w:rPr>
                      <w:t xml:space="preserve">Komunikat prasowy </w:t>
                    </w:r>
                    <w:r w:rsidR="00610CAF">
                      <w:rPr>
                        <w:rFonts w:ascii="Arial" w:hAnsi="Arial"/>
                        <w:color w:val="FFFFFF" w:themeColor="background1"/>
                        <w:sz w:val="28"/>
                      </w:rPr>
                      <w:t>p</w:t>
                    </w:r>
                    <w:r w:rsidR="00610CAF" w:rsidRPr="00610CAF">
                      <w:rPr>
                        <w:rFonts w:ascii="Arial" w:hAnsi="Arial"/>
                        <w:color w:val="FFFFFF" w:themeColor="background1"/>
                        <w:sz w:val="28"/>
                      </w:rPr>
                      <w:t>a</w:t>
                    </w:r>
                    <w:r w:rsidR="00610CAF" w:rsidRPr="00610CAF">
                      <w:rPr>
                        <w:rFonts w:ascii="Arial" w:hAnsi="Arial" w:hint="eastAsia"/>
                        <w:color w:val="FFFFFF" w:themeColor="background1"/>
                        <w:sz w:val="28"/>
                      </w:rPr>
                      <w:t>ź</w:t>
                    </w:r>
                    <w:r w:rsidR="00610CAF" w:rsidRPr="00610CAF">
                      <w:rPr>
                        <w:rFonts w:ascii="Arial" w:hAnsi="Arial"/>
                        <w:color w:val="FFFFFF" w:themeColor="background1"/>
                        <w:sz w:val="28"/>
                      </w:rPr>
                      <w:t>dziernik</w:t>
                    </w:r>
                    <w:r w:rsidR="007B32DE">
                      <w:rPr>
                        <w:rFonts w:ascii="Arial" w:hAnsi="Arial"/>
                        <w:color w:val="FFFFFF" w:themeColor="background1"/>
                        <w:sz w:val="28"/>
                      </w:rPr>
                      <w:t xml:space="preserve"> </w:t>
                    </w:r>
                    <w:r>
                      <w:rPr>
                        <w:rFonts w:ascii="Arial" w:hAnsi="Arial"/>
                        <w:color w:val="FFFFFF" w:themeColor="background1"/>
                        <w:sz w:val="28"/>
                      </w:rPr>
                      <w:t>2022 r.</w:t>
                    </w:r>
                  </w:p>
                </w:txbxContent>
              </v:textbox>
              <w10:wrap type="square"/>
            </v:shape>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EA3315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98CA1C"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54A4D7B0">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ED1988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0E12"/>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6D42"/>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DFC"/>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0F80"/>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37E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55B"/>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E683C"/>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1EB"/>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5F6"/>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306"/>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74E"/>
    <w:rsid w:val="0050395F"/>
    <w:rsid w:val="00503C63"/>
    <w:rsid w:val="00504514"/>
    <w:rsid w:val="00510A20"/>
    <w:rsid w:val="00510E7F"/>
    <w:rsid w:val="00510F64"/>
    <w:rsid w:val="0051114E"/>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F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0CAF"/>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C31"/>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6C1"/>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12"/>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44ED"/>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2DE"/>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866"/>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6531"/>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775"/>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74A"/>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3C2A"/>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4CF5"/>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750C"/>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8.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1.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E304CF-1907-4064-974E-3E8FC9ED6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777</Words>
  <Characters>5171</Characters>
  <Application>Microsoft Office Word</Application>
  <DocSecurity>0</DocSecurity>
  <Lines>43</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5937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2022-10-17T07:48:00Z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1411630109</vt:i4>
  </property>
  <property fmtid="{D5CDD505-2E9C-101B-9397-08002B2CF9AE}" pid="4" name="_PreviousAdHocReviewCycleID">
    <vt:i4>977551352</vt:i4>
  </property>
</Properties>
</file>